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34" w:rsidRDefault="00B63C3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B63C34" w:rsidRDefault="00B63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B63C34" w:rsidRDefault="00B63C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B63C34" w:rsidRDefault="00723A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Информационно-аналитическая справка по результатам диагностики по образовательным областям воспитанников </w:t>
      </w:r>
    </w:p>
    <w:p w:rsidR="00B63C34" w:rsidRDefault="008042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средней №1</w:t>
      </w:r>
      <w:r w:rsidR="00723AC9">
        <w:rPr>
          <w:rFonts w:ascii="Times New Roman" w:eastAsia="Times New Roman" w:hAnsi="Times New Roman" w:cs="Times New Roman"/>
          <w:b/>
          <w:i/>
          <w:sz w:val="28"/>
        </w:rPr>
        <w:t xml:space="preserve"> группы </w:t>
      </w:r>
    </w:p>
    <w:p w:rsidR="00B63C34" w:rsidRDefault="00723A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МБДОУ  детский сад №489</w:t>
      </w: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723AC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Составитель: Майорова Н.С. воспитатель</w:t>
      </w: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 w:rsidP="00E54FD0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B63C3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63C34" w:rsidRDefault="00723A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2023 г.</w:t>
      </w:r>
    </w:p>
    <w:p w:rsidR="00B63C34" w:rsidRDefault="00723AC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Информационно-аналитическая справка по результатам диагностики по образовательным о</w:t>
      </w:r>
      <w:r w:rsidR="00E5202A">
        <w:rPr>
          <w:rFonts w:ascii="Times New Roman" w:eastAsia="Times New Roman" w:hAnsi="Times New Roman" w:cs="Times New Roman"/>
          <w:i/>
          <w:sz w:val="28"/>
        </w:rPr>
        <w:t>бластям воспитанников средней №1</w:t>
      </w:r>
      <w:r>
        <w:rPr>
          <w:rFonts w:ascii="Times New Roman" w:eastAsia="Times New Roman" w:hAnsi="Times New Roman" w:cs="Times New Roman"/>
          <w:i/>
          <w:sz w:val="28"/>
        </w:rPr>
        <w:t xml:space="preserve"> группы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МБДОУ  детский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сад №489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Система достижения детьми планирования результатов освоения программы.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Цель педагогической диагностики: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Адаптировать содержание основной общеобразовательной программы дошкольного образо</w:t>
      </w:r>
      <w:r w:rsidR="000C5D0A">
        <w:rPr>
          <w:rFonts w:ascii="Times New Roman" w:eastAsia="Times New Roman" w:hAnsi="Times New Roman" w:cs="Times New Roman"/>
          <w:color w:val="111111"/>
          <w:sz w:val="28"/>
        </w:rPr>
        <w:t xml:space="preserve">вания МБДОУ 489   к </w:t>
      </w:r>
      <w:proofErr w:type="gramStart"/>
      <w:r w:rsidR="000C5D0A">
        <w:rPr>
          <w:rFonts w:ascii="Times New Roman" w:eastAsia="Times New Roman" w:hAnsi="Times New Roman" w:cs="Times New Roman"/>
          <w:color w:val="111111"/>
          <w:sz w:val="28"/>
        </w:rPr>
        <w:t xml:space="preserve">детям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средней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группы 2022/2023г</w:t>
      </w:r>
    </w:p>
    <w:p w:rsidR="00B63C34" w:rsidRDefault="0072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Дата составления:</w:t>
      </w:r>
      <w:r>
        <w:rPr>
          <w:rFonts w:ascii="Times New Roman" w:eastAsia="Times New Roman" w:hAnsi="Times New Roman" w:cs="Times New Roman"/>
          <w:sz w:val="28"/>
        </w:rPr>
        <w:t xml:space="preserve"> 27.05.2023год </w:t>
      </w:r>
    </w:p>
    <w:p w:rsidR="00B63C34" w:rsidRDefault="0072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Составитель:</w:t>
      </w:r>
      <w:r>
        <w:rPr>
          <w:rFonts w:ascii="Times New Roman" w:eastAsia="Times New Roman" w:hAnsi="Times New Roman" w:cs="Times New Roman"/>
          <w:sz w:val="28"/>
        </w:rPr>
        <w:t xml:space="preserve"> Майорова Н.С., воспитатель. </w:t>
      </w:r>
    </w:p>
    <w:p w:rsidR="00B63C34" w:rsidRDefault="0072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определить степень освоения ребенком примерной основной общеобразовательной программы «От рождения до школы»/ Под ред. Н.Е.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sz w:val="28"/>
        </w:rPr>
        <w:t>, М.А. Васильевой. – М.: Мозаика-Синтез, 2010 г.  и влияние образовательного процесса, на развитие ребенка.</w:t>
      </w:r>
    </w:p>
    <w:p w:rsidR="00B63C34" w:rsidRDefault="0072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Объектом</w:t>
      </w:r>
      <w:r>
        <w:rPr>
          <w:rFonts w:ascii="Times New Roman" w:eastAsia="Times New Roman" w:hAnsi="Times New Roman" w:cs="Times New Roman"/>
          <w:sz w:val="28"/>
        </w:rPr>
        <w:t xml:space="preserve"> мониторинга являются физические, интеллектуальные и личностные качества ребенка.</w:t>
      </w:r>
    </w:p>
    <w:p w:rsidR="00B63C34" w:rsidRDefault="0072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Предметом</w:t>
      </w:r>
      <w:r>
        <w:rPr>
          <w:rFonts w:ascii="Times New Roman" w:eastAsia="Times New Roman" w:hAnsi="Times New Roman" w:cs="Times New Roman"/>
          <w:sz w:val="28"/>
        </w:rPr>
        <w:t xml:space="preserve"> мониторингового исследования являются навыки и умения ребенка.</w:t>
      </w:r>
    </w:p>
    <w:p w:rsidR="00B63C34" w:rsidRDefault="0072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Субъект</w:t>
      </w:r>
      <w:r>
        <w:rPr>
          <w:rFonts w:ascii="Times New Roman" w:eastAsia="Times New Roman" w:hAnsi="Times New Roman" w:cs="Times New Roman"/>
          <w:sz w:val="28"/>
        </w:rPr>
        <w:t xml:space="preserve"> мониторинга – дети дошкольного возраста.</w:t>
      </w:r>
    </w:p>
    <w:p w:rsidR="00B63C34" w:rsidRDefault="00723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Мониторинг детского развития осуществляется с </w:t>
      </w:r>
      <w:r>
        <w:rPr>
          <w:rFonts w:ascii="Times New Roman" w:eastAsia="Times New Roman" w:hAnsi="Times New Roman" w:cs="Times New Roman"/>
          <w:i/>
          <w:sz w:val="28"/>
        </w:rPr>
        <w:t>использованием методов</w:t>
      </w:r>
      <w:r>
        <w:rPr>
          <w:rFonts w:ascii="Times New Roman" w:eastAsia="Times New Roman" w:hAnsi="Times New Roman" w:cs="Times New Roman"/>
          <w:sz w:val="28"/>
        </w:rPr>
        <w:t xml:space="preserve"> наблюдения, анализ продуктов деятельности (лепка, рисование, аппликация), беседа,  экспертной оценки. </w:t>
      </w:r>
    </w:p>
    <w:p w:rsidR="00B63C34" w:rsidRDefault="00723AC9">
      <w:pPr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Общая  характеристика  группы.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  средней группе  всего 36 человек, из них  23 мальчиков и 13 девочек. 4 ребенка не были продиагностированы, по пр</w:t>
      </w:r>
      <w:r w:rsidR="009C169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ичине долгого отсутст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Возраст детей от 4 до 5 лет.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протяжении года дети развивались согласно возрасту и по всем направлениям развития показали положительную динамику и высокие результаты.</w:t>
      </w:r>
    </w:p>
    <w:p w:rsidR="00B63C34" w:rsidRDefault="00B63C34" w:rsidP="006C2832">
      <w:pPr>
        <w:spacing w:before="80" w:after="80" w:line="240" w:lineRule="auto"/>
        <w:ind w:right="8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B63C34" w:rsidRDefault="00723AC9">
      <w:pPr>
        <w:spacing w:before="80" w:after="80" w:line="240" w:lineRule="auto"/>
        <w:ind w:left="-426" w:right="8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Сравнительный анализ на начало и на конец учебного года 2022 -2023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2"/>
        <w:gridCol w:w="3260"/>
        <w:gridCol w:w="2659"/>
      </w:tblGrid>
      <w:tr w:rsidR="00B63C34">
        <w:trPr>
          <w:trHeight w:val="1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B63C34">
            <w:pPr>
              <w:spacing w:before="80" w:after="80" w:line="240" w:lineRule="auto"/>
              <w:ind w:right="80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Конец года</w:t>
            </w:r>
          </w:p>
        </w:tc>
      </w:tr>
      <w:tr w:rsidR="00B63C34">
        <w:trPr>
          <w:trHeight w:val="1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Физическое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 - 10%</w:t>
            </w:r>
          </w:p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73%</w:t>
            </w:r>
          </w:p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17 %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высокий – 42% </w:t>
            </w:r>
          </w:p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50%</w:t>
            </w:r>
          </w:p>
          <w:p w:rsidR="00B63C34" w:rsidRDefault="00723AC9">
            <w:pPr>
              <w:spacing w:before="80" w:after="80" w:line="240" w:lineRule="auto"/>
              <w:ind w:right="-143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8 %</w:t>
            </w:r>
          </w:p>
        </w:tc>
      </w:tr>
      <w:tr w:rsidR="00B63C34">
        <w:trPr>
          <w:trHeight w:val="1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Познавательное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66%</w:t>
            </w:r>
          </w:p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34 %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-  39%</w:t>
            </w:r>
          </w:p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55%</w:t>
            </w:r>
          </w:p>
          <w:p w:rsidR="00B63C34" w:rsidRDefault="006E38D5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6</w:t>
            </w:r>
            <w:bookmarkStart w:id="0" w:name="_GoBack"/>
            <w:bookmarkEnd w:id="0"/>
            <w:r w:rsidR="00723AC9">
              <w:rPr>
                <w:rFonts w:ascii="Times New Roman" w:eastAsia="Times New Roman" w:hAnsi="Times New Roman" w:cs="Times New Roman"/>
                <w:color w:val="000000"/>
                <w:sz w:val="28"/>
              </w:rPr>
              <w:t>%</w:t>
            </w:r>
          </w:p>
        </w:tc>
      </w:tr>
      <w:tr w:rsidR="00B63C34">
        <w:trPr>
          <w:trHeight w:val="1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Социально – коммуникативное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B87BB1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73</w:t>
            </w:r>
            <w:r w:rsidR="00723AC9">
              <w:rPr>
                <w:rFonts w:ascii="Times New Roman" w:eastAsia="Times New Roman" w:hAnsi="Times New Roman" w:cs="Times New Roman"/>
                <w:color w:val="000000"/>
                <w:sz w:val="28"/>
              </w:rPr>
              <w:t>%</w:t>
            </w:r>
          </w:p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27 %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-  49%</w:t>
            </w:r>
          </w:p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46%</w:t>
            </w:r>
          </w:p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5 %</w:t>
            </w:r>
          </w:p>
        </w:tc>
      </w:tr>
      <w:tr w:rsidR="00B63C34">
        <w:trPr>
          <w:trHeight w:val="1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Художественно – эстетическое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79%</w:t>
            </w:r>
          </w:p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21 %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-  51%</w:t>
            </w:r>
          </w:p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40%</w:t>
            </w:r>
          </w:p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9%</w:t>
            </w:r>
          </w:p>
        </w:tc>
      </w:tr>
      <w:tr w:rsidR="00B63C34">
        <w:trPr>
          <w:trHeight w:val="1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Речевое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–62 %</w:t>
            </w:r>
          </w:p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38%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 -  38%</w:t>
            </w:r>
          </w:p>
          <w:p w:rsidR="00B63C34" w:rsidRDefault="00723AC9">
            <w:pPr>
              <w:spacing w:before="80" w:after="8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 – 34%</w:t>
            </w:r>
          </w:p>
          <w:p w:rsidR="00B63C34" w:rsidRDefault="00723AC9">
            <w:pPr>
              <w:spacing w:before="80" w:after="80" w:line="240" w:lineRule="auto"/>
              <w:ind w:right="8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 – 28%</w:t>
            </w:r>
          </w:p>
        </w:tc>
      </w:tr>
    </w:tbl>
    <w:p w:rsidR="00B63C34" w:rsidRDefault="00723AC9">
      <w:pPr>
        <w:spacing w:before="80" w:after="80" w:line="240" w:lineRule="auto"/>
        <w:ind w:left="80" w:right="80"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Чего достигли.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Образовательная область: «Социально-коммуникативное развитие».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Высокий уровень имеют 49% детей.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Средний уровень имеют 46%, это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дети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которые умеют оформлять игру, используя разнообразные материалы (атрибуты, подручный материал). Часто являются организаторами игры, способны принять игровую проблемную ситуацию, изменить собственное ролевое поведение проявляют уважительное отношение к сверстникам и взрослым. Но не умеют оформлять свою игру, не всегда соблюдают правила игры.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Низкий/средний и низкий уровень имеют 5%, это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дети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которые действуют с предметами по показу или образцу. Активно участвуют в игре, но не соблюдают правила. Частично видят свои ошибки и исправляют их с помощью взрослого. 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Пути решения: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 Продолжать работу с детьми через использование дидактических игр по проблеме, большое внимание уделять тем детям, которые требуют индивидуального подхода, таким образом следует заинтересовывать детей через игровые ситуации, чтением книг с проблемными ситуациями, просмотр иллюстраций. Во время игры учить детей вместе пользоваться игрушками, книгами, помогать друг другу. 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Образовательная область: «Речевое развитие».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Высокий уровень имеют – 38% детей 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Дети со средним уровнем - 34% владеют некоторыми умениями и навыками в данной области, проявляют интерес к речевому развитию, а именно; рассматривают иллюстрации детских книг, проявляют интерес к ним, с помощью взрослого повторяют образцы описания игрушек, описывают картину с помощью наводящих вопросов.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Дети с низким / средним и низким уровнями - 28%, испытывают затруднения по всем проверяемым параметрам. Как правило это дети с </w:t>
      </w:r>
      <w:r>
        <w:rPr>
          <w:rFonts w:ascii="Times New Roman" w:eastAsia="Times New Roman" w:hAnsi="Times New Roman" w:cs="Times New Roman"/>
          <w:color w:val="111111"/>
          <w:sz w:val="28"/>
        </w:rPr>
        <w:lastRenderedPageBreak/>
        <w:t>тяжелыми нарушениями речи, которые требуют занятий с узкими специалистами (логопед, дефектолог)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Пути решения:</w:t>
      </w:r>
      <w:r>
        <w:rPr>
          <w:rFonts w:ascii="Times New Roman" w:eastAsia="Times New Roman" w:hAnsi="Times New Roman" w:cs="Times New Roman"/>
          <w:color w:val="111111"/>
          <w:sz w:val="28"/>
        </w:rPr>
        <w:t> 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 во взаимодействии с воспитателем на занятиях и самостоятельной деятельности детей со сверстниками. Развивать диалогическую форму речи. Вовлекать детей в разговор во время рассматривания предметов, картин, иллюстраций.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Продолжать помогать детям общаться со знакомыми взрослыми ближнего окружения через индивидуальные поручения (спроси, предложи помощь и т. д.). Формировать потребность делится своими впечатлениями с воспитателями и родителями. Точно повторять за взрослым простые звуковые цепочки. Работа непосредственно с логопедом. Прохождение ПМПК.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Образовательная область: «Художественно - эстетическое развитие (изобразительная деятельность)».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Высокий уровень имеют 51% детей. 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Дети со средним уровнем - 40 % умеют создавать образы разных предметов и игрушек, объединяя их в коллективную композицию; аккуратно наклеивают изображения предметов, состоящих из нескольких частей, закрашивать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изображение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не выходя за контур. 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А дети с низким / средним и низким уровнями 9 % совершенно не владеют навыками составления узоры из растительных форм и геометрических фигур, правильно держать карандаш, кисть и пользоваться ими, не умеют пользоваться ножницами.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Пути решения: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Продолжать знакомить детей с видами изобразительного искусства, чаще использовать разные материалы и способы создания изображения. Приобщать детей к посещению кукольного театра, желания участвовать в выставках детских работ. Формирование умения создавать, как индивидуальные, так и коллективные композиции в изобразительной деятельности. Индивидуальная работа с детьми по работе с ножницами. 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Образовательная область: «Познавательное развитие».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Детей с высоким уровнем имеют – 39 %.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 средним уровнем – 55%, дети знают основные признаки живого, устанавливают связи между состоянием живых существ и средой обитания, пользуются группировкой, правильно называют домашних животных и то какую пользу они приносят человеку, различают и называют геометрические фигуры: круг, квадрат, треугольник и др. Называет разные предметы, </w:t>
      </w:r>
      <w:r>
        <w:rPr>
          <w:rFonts w:ascii="Times New Roman" w:eastAsia="Times New Roman" w:hAnsi="Times New Roman" w:cs="Times New Roman"/>
          <w:color w:val="111111"/>
          <w:sz w:val="28"/>
        </w:rPr>
        <w:lastRenderedPageBreak/>
        <w:t>которые окружают их. Знают о том, что нужно бережно относиться к природе, но выполняют не все.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Возникают затруднения назвать время года, лева - право, и в определении  время суток, а так же адрес проживания.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Низкий уровень имеют – 7%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Пути решения: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Проводить с детьми индивидуальную работу, используя дидактические игры. Для развития в данной области детям предлагается масса игрушек, которые способствуют этому: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, мозаики, доска-мольберт. </w:t>
      </w: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Образовательная область: «Физическое развитие (культурно-гигиенические навыки)».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Высокий уровень в данной области составил -42% дети самостоятельно, без помощи взрослого соблюдают элементарные правила гигиены, правила приема пищи.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Средний уровень составляет - 50%, это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дети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которые редко обращаются к взрослым за помощью при заболевании или травме. Также стараются соблюдать правила приема пищи, но иногда нуждаются в помощи взрослого.</w:t>
      </w:r>
    </w:p>
    <w:p w:rsidR="00B63C34" w:rsidRDefault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Низкий/средний и низкий уровень имеют дети – 8%</w:t>
      </w:r>
    </w:p>
    <w:p w:rsidR="00B63C34" w:rsidRDefault="00B63C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</w:rPr>
      </w:pPr>
    </w:p>
    <w:p w:rsidR="00B63C34" w:rsidRDefault="0072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Пути решения:</w:t>
      </w:r>
    </w:p>
    <w:p w:rsidR="00B63C34" w:rsidRPr="00723AC9" w:rsidRDefault="00723AC9" w:rsidP="00723AC9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В течении всего периода пребывание детей независимо от уровня овладения навыками и умениями большую роль уделять сохранению, укреплению и охране здоровья детей, повышение умственной и физической работоспособности, предупреждения утомляемости. Ежедневно проводить утреннюю гимнастику, гимнастику после сна в соответствии с возрастными особенностями детей.</w:t>
      </w:r>
    </w:p>
    <w:p w:rsidR="00B63C34" w:rsidRDefault="00723AC9" w:rsidP="00723AC9">
      <w:pPr>
        <w:spacing w:before="60" w:after="60" w:line="240" w:lineRule="auto"/>
        <w:ind w:firstLine="360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В течение года были проведены следующие мероприятия с детьми: "Золотая осень", «Новый год», «23 февраля», «8 марта», "9 мая» и другие.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Воспитанники и родители  группы принимали  участие в различных   конкурсах ДОУ и    конкурсах  муниципального   уровня.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 xml:space="preserve">В   группе систематически проводилась работа по взаимодействию с родителями.  Составлены перспективный планы, в них указаны все совместные мероприятия, консультации, родительские собрания, наглядно-стендовая информация «Уголок для родителей», В свою очередь родители охотно шли на контакт и старались участвовать во всех акциях и совместных мероприятиях группы и ДОУ. 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Работа по преобразованию предметно-развивающей среды оказала благоприятное влияние на развитие творческих способностей детей.  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lastRenderedPageBreak/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В минувшем году были выявлены следующие проблемы и достигнуты успехи.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</w:rPr>
        <w:t>Проблемы: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Не все родители прислушиваются к советам воспитателей и продолжают нарушать режим дня, поздно приводят детей в детский сад. Воспитанники пропускают утреннюю зарядку, а иногда и завтрак;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Не полностью укомплектована предметно-развивающая среда в соответствии с современными требованиями.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</w:rPr>
        <w:t>Успехи: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Посещаемость детьми ДОУ возросла;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Заметно возрос авторитет и популярность педагогов среди родителей группы.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 xml:space="preserve">С учетом успехов и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</w:rPr>
        <w:t>проблем,  возникших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</w:rPr>
        <w:t xml:space="preserve"> в минувшем учебном году намечены следующие задачи на 2022 – 2023 учебный год: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Продолжение целенаправленной работы с детьми по всем  образовательным областям;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Совершенствование работы по взаимодействию с родителями;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Продолжение совершенствования предметно-развивающей среды.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Познакомиться с новой программо</w:t>
      </w:r>
      <w:r w:rsidR="006C2832">
        <w:rPr>
          <w:rFonts w:ascii="Times New Roman" w:eastAsia="Times New Roman" w:hAnsi="Times New Roman" w:cs="Times New Roman"/>
          <w:color w:val="444444"/>
          <w:sz w:val="28"/>
        </w:rPr>
        <w:t xml:space="preserve">й 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 ФОП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Повышение уровня педагогического мастерства путем самообразования, обмена опытом работы, посещения городских мероприятий (семинаров, практикумов, мастер-классов);</w:t>
      </w:r>
    </w:p>
    <w:p w:rsidR="00B63C34" w:rsidRDefault="00723AC9">
      <w:pPr>
        <w:spacing w:before="60" w:after="60" w:line="240" w:lineRule="auto"/>
        <w:rPr>
          <w:rFonts w:ascii="Times New Roman" w:eastAsia="Times New Roman" w:hAnsi="Times New Roman" w:cs="Times New Roman"/>
          <w:color w:val="444444"/>
          <w:sz w:val="28"/>
        </w:rPr>
      </w:pPr>
      <w:r>
        <w:rPr>
          <w:rFonts w:ascii="Times New Roman" w:eastAsia="Times New Roman" w:hAnsi="Times New Roman" w:cs="Times New Roman"/>
          <w:color w:val="444444"/>
          <w:sz w:val="28"/>
        </w:rPr>
        <w:t>• Активное  участие в мероприятиях ДОУ.</w:t>
      </w:r>
    </w:p>
    <w:p w:rsidR="00B63C34" w:rsidRDefault="00B63C34">
      <w:pPr>
        <w:rPr>
          <w:rFonts w:ascii="Times New Roman" w:eastAsia="Times New Roman" w:hAnsi="Times New Roman" w:cs="Times New Roman"/>
          <w:sz w:val="28"/>
        </w:rPr>
      </w:pPr>
    </w:p>
    <w:sectPr w:rsidR="00B6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C34"/>
    <w:rsid w:val="000C5D0A"/>
    <w:rsid w:val="006C2832"/>
    <w:rsid w:val="006E38D5"/>
    <w:rsid w:val="00723AC9"/>
    <w:rsid w:val="008042ED"/>
    <w:rsid w:val="009C1698"/>
    <w:rsid w:val="00B63C34"/>
    <w:rsid w:val="00B87BB1"/>
    <w:rsid w:val="00E5202A"/>
    <w:rsid w:val="00E5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BA83"/>
  <w15:docId w15:val="{BB62250C-A957-46AE-A31E-AC87BF58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1416</Words>
  <Characters>8073</Characters>
  <Application>Microsoft Office Word</Application>
  <DocSecurity>0</DocSecurity>
  <Lines>67</Lines>
  <Paragraphs>18</Paragraphs>
  <ScaleCrop>false</ScaleCrop>
  <Company>DG Win&amp;Soft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10</cp:revision>
  <dcterms:created xsi:type="dcterms:W3CDTF">2023-06-05T10:16:00Z</dcterms:created>
  <dcterms:modified xsi:type="dcterms:W3CDTF">2025-12-08T15:31:00Z</dcterms:modified>
</cp:coreProperties>
</file>